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81" w:rsidRPr="006D13EF" w:rsidRDefault="00BC6181" w:rsidP="00F56EC0">
      <w:pPr>
        <w:spacing w:after="0" w:line="36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Objaśnienia do Wieloletniej Prognozy Finan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sowej Gminy Zakrzew na lata 2016 – 2022</w:t>
      </w:r>
    </w:p>
    <w:p w:rsidR="00BC6181" w:rsidRDefault="00BC6181" w:rsidP="00D46542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Pr="006D13EF" w:rsidRDefault="00BC6181" w:rsidP="006D13E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Główne założenia przyjęte do opracowania WPF</w:t>
      </w:r>
    </w:p>
    <w:p w:rsidR="00BC6181" w:rsidRDefault="00BC6181" w:rsidP="006D13EF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Wieloletnia Prognoza Finansowa została sporządzona zgodnie z art. 226-323 ustawy </w:t>
      </w:r>
      <w:r w:rsidRPr="00974B1F">
        <w:rPr>
          <w:lang w:val="pl-PL"/>
        </w:rPr>
        <w:t>z </w:t>
      </w:r>
      <w:r w:rsidRPr="00974B1F">
        <w:rPr>
          <w:rFonts w:ascii="Times New Roman" w:hAnsi="Times New Roman" w:cs="Times New Roman"/>
          <w:lang w:val="pl-PL"/>
        </w:rPr>
        <w:t>dnia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27 sierpnia 2009 r. o finansach publicznych. Obejmuje ona lata 2016 – 2022, co wynika z prognozy kwota długu na okres zaciągniętych i planowanych do zaciągnięcia zobowiązań. Do opracowania WPF oparto się na przyjętym planie budżetu 2015 roku wg stanu na dzień 30.09.2015 r. oraz przewidywane wykonanie budżetu za 2015 rok.</w:t>
      </w:r>
    </w:p>
    <w:p w:rsidR="00BC6181" w:rsidRDefault="00BC6181" w:rsidP="00D46542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Dochody i wydatki, przychody i rozchody na 2016 rok przyjęto w wartościach zgodnych z  uchwałą budżetową na ten rok.</w:t>
      </w:r>
    </w:p>
    <w:p w:rsidR="00BC6181" w:rsidRPr="006D13EF" w:rsidRDefault="00BC6181" w:rsidP="006D13E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dochody</w:t>
      </w:r>
    </w:p>
    <w:p w:rsidR="00BC6181" w:rsidRDefault="00BC6181" w:rsidP="006D13EF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uchwale budżetowej na 2016 rok przyjęto:</w:t>
      </w:r>
    </w:p>
    <w:p w:rsidR="00BC6181" w:rsidRDefault="00BC6181" w:rsidP="006D13E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Podane przez Ministra finansów planowane kwoty poszczególnych części subwencji</w:t>
      </w:r>
    </w:p>
    <w:p w:rsidR="00BC6181" w:rsidRDefault="00BC6181" w:rsidP="006D13EF">
      <w:pPr>
        <w:pStyle w:val="ListParagraph"/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ogólnej oraz planowane kwoty dochodów z tytułu udziału we wpływach z podatku dochodowego od osób fizycznych. </w:t>
      </w:r>
    </w:p>
    <w:p w:rsidR="00BC6181" w:rsidRDefault="00BC6181" w:rsidP="00A11C0D">
      <w:pPr>
        <w:pStyle w:val="ListParagraph"/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Planowaną na 2016 r. subwencję ogólną przyjęto w wysokości podanej przez Ministerstwo Finansów - pismem nr.ST3.4750.132.2015 z dnia 12 października 2015 r. przyjmując w stosunku do roku 2015 wzrost, a kwota subwencji wynosi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16.032.075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>
        <w:rPr>
          <w:rFonts w:ascii="Times New Roman" w:hAnsi="Times New Roman" w:cs="Times New Roman"/>
          <w:sz w:val="24"/>
          <w:szCs w:val="24"/>
          <w:lang w:val="pl-PL"/>
        </w:rPr>
        <w:t>. W kolejnych latach zaplanowano jednak wzrost.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2017 – 17.369.820 zł</w:t>
      </w:r>
    </w:p>
    <w:p w:rsidR="00BC6181" w:rsidRPr="004608A4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2018 – 18.238.310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 – 18.785.460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 – 19.349.023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 – 19.736.003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2022 – 20.300.000 zł.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Planowane dochody z tytułu udziału gmin we wpływach z podatku dochodowego od osób fizycznych przyjęto na podstawie załączników do pisma Ministerstwa Finansów nr.ST3.4750.132.2015 z dnia 17 października 2014 r. w kwocie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6.230.596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(jest to kwota informacyjno-szacunkowa). 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2017 – 6.251.551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2018 – 6.336.097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 – 6.450.000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 – 6.573.400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 – 6.620.000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2022 – 7.120.000 zł. 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Podatek dochodowy od osób prawnych przyjęto w kwocie 91.000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2017 – 64.504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2018 – 65.101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 – 67.700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 – 68.000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 – 71.000 zł,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2022 – 76.000 zł.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Podatki i opłaty lokalne zaplanowano na bazie ustalonych stawek w 2015 roku podjętych uchwał Rady Gminy w miesiącu listopadzie 2015 roku w zakresie:</w:t>
      </w:r>
    </w:p>
    <w:p w:rsidR="00BC6181" w:rsidRDefault="00BC6181" w:rsidP="006D13E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ustalenia stawek podatku od nieruchomości na 2016 rok obowiązujących na terenie Gminy Zakrzew oraz zwolnień w tym podatku, </w:t>
      </w:r>
    </w:p>
    <w:p w:rsidR="00BC6181" w:rsidRDefault="00BC6181" w:rsidP="006D13E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obniżenie średniej ceny skupu żyta, przyjmowaną jako podstawa obliczenia podatku rolnego na 2016 r. i wprowadzenia ulgi w podatku rolnym </w:t>
      </w:r>
    </w:p>
    <w:p w:rsidR="00BC6181" w:rsidRPr="006D13EF" w:rsidRDefault="00BC6181" w:rsidP="006D13E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sz w:val="24"/>
          <w:szCs w:val="24"/>
          <w:lang w:val="pl-PL"/>
        </w:rPr>
        <w:t>ustalenia wysokości stawek podatku od śr</w:t>
      </w:r>
      <w:r>
        <w:rPr>
          <w:rFonts w:ascii="Times New Roman" w:hAnsi="Times New Roman" w:cs="Times New Roman"/>
          <w:sz w:val="24"/>
          <w:szCs w:val="24"/>
          <w:lang w:val="pl-PL"/>
        </w:rPr>
        <w:t>odków transportowych na rok 2016</w:t>
      </w:r>
      <w:r w:rsidRPr="006D13EF">
        <w:rPr>
          <w:rFonts w:ascii="Times New Roman" w:hAnsi="Times New Roman" w:cs="Times New Roman"/>
          <w:sz w:val="24"/>
          <w:szCs w:val="24"/>
          <w:lang w:val="pl-PL"/>
        </w:rPr>
        <w:t xml:space="preserve"> obciążających na terenie Gminy Zakrzew oraz zwoln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ień w tym podatku. </w:t>
      </w:r>
    </w:p>
    <w:p w:rsidR="00BC6181" w:rsidRDefault="00BC6181" w:rsidP="006D13EF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Na rok 2016 kwotę dotacji na zadania z zakresu administracji rządowej i dochodów związanych z realizacją zadań z zakresu administracji rządowej przyjęto w wysokości zgodnej z informacją Wojewody Mazowieckiego z dnia 22 października 2015.r. pisma FCR-I.3111.23.34.2015. Na rok 2016 przyjęto do budżetu dochody w § 2010 w kwocie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4.946.322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BC6181" w:rsidRDefault="00BC6181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Dotacje na zadanie własne na rok 2016 przyjęto w wysokości ustalonej przez Wojewodę Mazowieckiego pismem nr FCR-.3111.23.34.2015 z dnia 24 października 2014 r. Na rok 2016 przyjęto do   budżetu w § 2030 kwotę </w:t>
      </w:r>
      <w:r w:rsidRPr="00FA7BA2">
        <w:rPr>
          <w:rFonts w:ascii="Times New Roman" w:hAnsi="Times New Roman" w:cs="Times New Roman"/>
          <w:b/>
          <w:bCs/>
          <w:sz w:val="24"/>
          <w:szCs w:val="24"/>
          <w:lang w:val="pl-PL"/>
        </w:rPr>
        <w:t>394.700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BC6181" w:rsidRDefault="00BC6181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FA7BA2">
        <w:rPr>
          <w:rFonts w:ascii="Times New Roman" w:hAnsi="Times New Roman" w:cs="Times New Roman"/>
          <w:sz w:val="24"/>
          <w:szCs w:val="24"/>
          <w:lang w:val="pl-PL"/>
        </w:rPr>
        <w:t>Dotację z Krajowego Biura Wyborczego Delegatura w Radomiu pismo nr DRD-3101/28/15 dotację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A7BA2">
        <w:rPr>
          <w:rFonts w:ascii="Times New Roman" w:hAnsi="Times New Roman" w:cs="Times New Roman"/>
          <w:sz w:val="24"/>
          <w:szCs w:val="24"/>
          <w:lang w:val="pl-PL"/>
        </w:rPr>
        <w:t>celową przeznaczoną na prowadzenie i aktualizację stałego rejestru wyborców w kwocie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2.437 zł. </w:t>
      </w:r>
    </w:p>
    <w:p w:rsidR="00BC6181" w:rsidRDefault="00BC6181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Dotację dla oddziałów przedszkolnych w szkołach podstawowych w kwocie </w:t>
      </w:r>
      <w:r w:rsidRPr="00FA7BA2">
        <w:rPr>
          <w:rFonts w:ascii="Times New Roman" w:hAnsi="Times New Roman" w:cs="Times New Roman"/>
          <w:b/>
          <w:bCs/>
          <w:sz w:val="24"/>
          <w:szCs w:val="24"/>
          <w:lang w:val="pl-PL"/>
        </w:rPr>
        <w:t>156.600 zł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oraz dla przedszkola w kwocie </w:t>
      </w:r>
      <w:r w:rsidRPr="00FA7BA2">
        <w:rPr>
          <w:rFonts w:ascii="Times New Roman" w:hAnsi="Times New Roman" w:cs="Times New Roman"/>
          <w:b/>
          <w:bCs/>
          <w:sz w:val="24"/>
          <w:szCs w:val="24"/>
          <w:lang w:val="pl-PL"/>
        </w:rPr>
        <w:t>227.070 zł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. </w:t>
      </w:r>
    </w:p>
    <w:p w:rsidR="00BC6181" w:rsidRDefault="00BC6181" w:rsidP="006D13E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Dochody majątkowe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Środki na zadania inwestycyjne z dotacji celowych zaplanowane na podstawie zawartych przez Gminę umów o dofinansowania projektów inwestycyjnych realizowanych przy współudziale środków unijnych i innych źrodeł. W ramach środków będą realizowane zadania: 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dział 010 </w:t>
      </w:r>
      <w:r w:rsidRPr="00D1181F">
        <w:rPr>
          <w:rFonts w:ascii="Times New Roman" w:hAnsi="Times New Roman" w:cs="Times New Roman"/>
          <w:sz w:val="24"/>
          <w:szCs w:val="24"/>
          <w:lang w:val="pl-PL"/>
        </w:rPr>
        <w:t>Modernizacja stacji uzdataniania wody  w Zakrzewie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80.000</w:t>
      </w:r>
      <w:r w:rsidRPr="00D4654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</w:p>
    <w:p w:rsidR="00BC6181" w:rsidRDefault="00BC6181" w:rsidP="006D13EF">
      <w:pPr>
        <w:pStyle w:val="ListParagraph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dział 921 – Budowa Domu Ludowego w m. Milejowice –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400.000</w:t>
      </w:r>
      <w:r w:rsidRPr="00D4654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zł,</w:t>
      </w:r>
    </w:p>
    <w:p w:rsidR="00BC6181" w:rsidRDefault="00BC6181" w:rsidP="00D46542">
      <w:pPr>
        <w:pStyle w:val="ListParagraph"/>
        <w:spacing w:after="0" w:line="360" w:lineRule="auto"/>
        <w:ind w:firstLine="84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46542">
        <w:rPr>
          <w:sz w:val="24"/>
          <w:szCs w:val="24"/>
          <w:lang w:val="pl-PL"/>
        </w:rPr>
        <w:t xml:space="preserve">                                                                              </w:t>
      </w:r>
      <w:r w:rsidRPr="00D4654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Razem: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480.000</w:t>
      </w:r>
      <w:r w:rsidRPr="00D4654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</w:p>
    <w:p w:rsidR="00BC6181" w:rsidRDefault="00BC6181" w:rsidP="004F4BE4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600 rozdział 60016 § 6630 – </w:t>
      </w:r>
      <w:r w:rsidRPr="00443CA6">
        <w:rPr>
          <w:rFonts w:ascii="Times New Roman" w:hAnsi="Times New Roman" w:cs="Times New Roman"/>
          <w:sz w:val="24"/>
          <w:szCs w:val="24"/>
        </w:rPr>
        <w:t>kwot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37BE">
        <w:rPr>
          <w:rFonts w:ascii="Times New Roman" w:hAnsi="Times New Roman" w:cs="Times New Roman"/>
          <w:b/>
          <w:bCs/>
          <w:sz w:val="24"/>
          <w:szCs w:val="24"/>
        </w:rPr>
        <w:t>100.000 zł</w:t>
      </w:r>
      <w:r w:rsidRPr="00D96A9D">
        <w:rPr>
          <w:rFonts w:ascii="Times New Roman" w:hAnsi="Times New Roman" w:cs="Times New Roman"/>
          <w:sz w:val="24"/>
          <w:szCs w:val="24"/>
        </w:rPr>
        <w:t xml:space="preserve"> z przeznaczeniem na</w:t>
      </w:r>
      <w:r>
        <w:rPr>
          <w:rFonts w:ascii="Times New Roman" w:hAnsi="Times New Roman" w:cs="Times New Roman"/>
          <w:sz w:val="24"/>
          <w:szCs w:val="24"/>
        </w:rPr>
        <w:t xml:space="preserve"> realizację zadania inwestycyjnego on. „</w:t>
      </w:r>
      <w:r w:rsidRPr="00D96A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Przebudowa drogi gminnej w miejscowości Gulinek – II etap” (z Urzędu Marszałkowskiego).</w:t>
      </w:r>
    </w:p>
    <w:p w:rsidR="00BC6181" w:rsidRPr="004F4BE4" w:rsidRDefault="00BC6181" w:rsidP="004F4BE4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F4BE4">
        <w:rPr>
          <w:rFonts w:ascii="Times New Roman" w:hAnsi="Times New Roman" w:cs="Times New Roman"/>
          <w:sz w:val="24"/>
          <w:szCs w:val="24"/>
          <w:lang w:val="pl-PL"/>
        </w:rPr>
        <w:t xml:space="preserve">600 rozdział 60014 § 6620 – kwotę </w:t>
      </w:r>
      <w:r w:rsidRPr="00A637B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500.000 zł </w:t>
      </w:r>
      <w:r w:rsidRPr="004F4BE4">
        <w:rPr>
          <w:rFonts w:ascii="Times New Roman" w:hAnsi="Times New Roman" w:cs="Times New Roman"/>
          <w:sz w:val="24"/>
          <w:szCs w:val="24"/>
          <w:lang w:val="pl-PL"/>
        </w:rPr>
        <w:t xml:space="preserve"> 600 rozdział 60016 § 6330 – kwotę </w:t>
      </w:r>
      <w:r w:rsidRPr="00A637BE">
        <w:rPr>
          <w:rFonts w:ascii="Times New Roman" w:hAnsi="Times New Roman" w:cs="Times New Roman"/>
          <w:b/>
          <w:bCs/>
          <w:sz w:val="24"/>
          <w:szCs w:val="24"/>
          <w:lang w:val="pl-PL"/>
        </w:rPr>
        <w:t>860.203 zł</w:t>
      </w:r>
      <w:r w:rsidRPr="004F4BE4">
        <w:rPr>
          <w:rFonts w:ascii="Times New Roman" w:hAnsi="Times New Roman" w:cs="Times New Roman"/>
          <w:sz w:val="24"/>
          <w:szCs w:val="24"/>
          <w:lang w:val="pl-PL"/>
        </w:rPr>
        <w:t xml:space="preserve"> z przeznaczeniem na realizację zadania inwestycyjnego pn. „Przebudowa układu komunikacyjnego Bielicha – Wacyn – Janiszew” (z budżetu państwa).</w:t>
      </w:r>
    </w:p>
    <w:p w:rsidR="00BC6181" w:rsidRPr="004F4BE4" w:rsidRDefault="00BC6181" w:rsidP="004F4BE4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F4BE4">
        <w:rPr>
          <w:rFonts w:ascii="Times New Roman" w:hAnsi="Times New Roman" w:cs="Times New Roman"/>
          <w:sz w:val="24"/>
          <w:szCs w:val="24"/>
          <w:lang w:val="pl-PL"/>
        </w:rPr>
        <w:t xml:space="preserve">801 rozdział 80101 § 6330 – kwotę </w:t>
      </w:r>
      <w:r w:rsidRPr="00A637BE">
        <w:rPr>
          <w:rFonts w:ascii="Times New Roman" w:hAnsi="Times New Roman" w:cs="Times New Roman"/>
          <w:b/>
          <w:bCs/>
          <w:sz w:val="24"/>
          <w:szCs w:val="24"/>
          <w:lang w:val="pl-PL"/>
        </w:rPr>
        <w:t>2.000.000 zł</w:t>
      </w:r>
      <w:r w:rsidRPr="004F4BE4">
        <w:rPr>
          <w:rFonts w:ascii="Times New Roman" w:hAnsi="Times New Roman" w:cs="Times New Roman"/>
          <w:sz w:val="24"/>
          <w:szCs w:val="24"/>
          <w:lang w:val="pl-PL"/>
        </w:rPr>
        <w:t xml:space="preserve"> z przeznaczeniem na realizację zadania inwestycyjnego pn. „Budowa obiektów oświatowo - sportowych w m. Bielicha” (z budżetu państwa).</w:t>
      </w:r>
    </w:p>
    <w:p w:rsidR="00BC6181" w:rsidRPr="00D46542" w:rsidRDefault="00BC6181" w:rsidP="00D46542">
      <w:pPr>
        <w:pStyle w:val="ListParagraph"/>
        <w:spacing w:after="0" w:line="360" w:lineRule="auto"/>
        <w:ind w:firstLine="84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BC6181" w:rsidRDefault="00BC6181" w:rsidP="00D1181F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23A5B">
        <w:rPr>
          <w:rFonts w:ascii="Times New Roman" w:hAnsi="Times New Roman" w:cs="Times New Roman"/>
          <w:sz w:val="24"/>
          <w:szCs w:val="24"/>
          <w:lang w:val="pl-PL"/>
        </w:rPr>
        <w:t xml:space="preserve">Ogółem dochody zaplanowano w kwocie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38.389.437</w:t>
      </w:r>
      <w:r w:rsidRPr="00E23A5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zl.</w:t>
      </w:r>
      <w:r w:rsidRPr="00E23A5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BC6181" w:rsidRPr="00E23A5B" w:rsidRDefault="00BC6181" w:rsidP="00A07D1E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Pr="00A07D1E" w:rsidRDefault="00BC6181" w:rsidP="00457238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WYDATKI</w:t>
      </w:r>
    </w:p>
    <w:p w:rsidR="00BC6181" w:rsidRDefault="00BC6181" w:rsidP="0045723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Prognoza wydatków oparta została na wykonaniu za 3 kwartały oraz za 2015 rok.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9"/>
        <w:gridCol w:w="2971"/>
        <w:gridCol w:w="573"/>
        <w:gridCol w:w="2551"/>
        <w:gridCol w:w="2234"/>
      </w:tblGrid>
      <w:tr w:rsidR="00BC6181" w:rsidRPr="00D1181F">
        <w:trPr>
          <w:trHeight w:val="390"/>
        </w:trPr>
        <w:tc>
          <w:tcPr>
            <w:tcW w:w="599" w:type="dxa"/>
            <w:vMerge w:val="restart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Lp.</w:t>
            </w:r>
          </w:p>
        </w:tc>
        <w:tc>
          <w:tcPr>
            <w:tcW w:w="2971" w:type="dxa"/>
            <w:vMerge w:val="restart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Treść</w:t>
            </w:r>
          </w:p>
        </w:tc>
        <w:tc>
          <w:tcPr>
            <w:tcW w:w="573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Jm</w:t>
            </w:r>
          </w:p>
        </w:tc>
        <w:tc>
          <w:tcPr>
            <w:tcW w:w="4785" w:type="dxa"/>
            <w:gridSpan w:val="2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2015</w:t>
            </w:r>
          </w:p>
        </w:tc>
      </w:tr>
      <w:tr w:rsidR="00BC6181" w:rsidRPr="00050592">
        <w:trPr>
          <w:trHeight w:val="314"/>
        </w:trPr>
        <w:tc>
          <w:tcPr>
            <w:tcW w:w="599" w:type="dxa"/>
            <w:vMerge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971" w:type="dxa"/>
            <w:vMerge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73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Wykonanie za 3 kwartały</w:t>
            </w:r>
          </w:p>
        </w:tc>
        <w:tc>
          <w:tcPr>
            <w:tcW w:w="2234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Przewidywane wykonanie</w:t>
            </w:r>
          </w:p>
        </w:tc>
      </w:tr>
      <w:tr w:rsidR="00BC6181" w:rsidRPr="0097226F">
        <w:trPr>
          <w:trHeight w:val="639"/>
        </w:trPr>
        <w:tc>
          <w:tcPr>
            <w:tcW w:w="3570" w:type="dxa"/>
            <w:gridSpan w:val="2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Wydatki ogółem z tego:</w:t>
            </w:r>
          </w:p>
        </w:tc>
        <w:tc>
          <w:tcPr>
            <w:tcW w:w="573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41.364.073,00 </w:t>
            </w:r>
          </w:p>
        </w:tc>
        <w:tc>
          <w:tcPr>
            <w:tcW w:w="2234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39.140.759</w:t>
            </w:r>
          </w:p>
        </w:tc>
      </w:tr>
      <w:tr w:rsidR="00BC6181" w:rsidRPr="0097226F">
        <w:trPr>
          <w:trHeight w:val="639"/>
        </w:trPr>
        <w:tc>
          <w:tcPr>
            <w:tcW w:w="599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297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Bieżące</w:t>
            </w:r>
          </w:p>
        </w:tc>
        <w:tc>
          <w:tcPr>
            <w:tcW w:w="573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30.628.009,00 </w:t>
            </w:r>
          </w:p>
        </w:tc>
        <w:tc>
          <w:tcPr>
            <w:tcW w:w="2234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29.249.580</w:t>
            </w:r>
          </w:p>
        </w:tc>
      </w:tr>
      <w:tr w:rsidR="00BC6181" w:rsidRPr="0097226F">
        <w:trPr>
          <w:trHeight w:val="675"/>
        </w:trPr>
        <w:tc>
          <w:tcPr>
            <w:tcW w:w="599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297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Majątkowe</w:t>
            </w:r>
          </w:p>
        </w:tc>
        <w:tc>
          <w:tcPr>
            <w:tcW w:w="573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5059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10.736.064,00</w:t>
            </w:r>
          </w:p>
        </w:tc>
        <w:tc>
          <w:tcPr>
            <w:tcW w:w="2234" w:type="dxa"/>
          </w:tcPr>
          <w:p w:rsidR="00BC6181" w:rsidRPr="00050592" w:rsidRDefault="00BC6181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9.891.179</w:t>
            </w:r>
          </w:p>
        </w:tc>
      </w:tr>
    </w:tbl>
    <w:p w:rsidR="00BC6181" w:rsidRPr="0089230E" w:rsidRDefault="00BC6181" w:rsidP="00F56EC0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Default="00BC6181" w:rsidP="00F56EC0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F56EC0">
        <w:rPr>
          <w:rFonts w:ascii="Times New Roman" w:hAnsi="Times New Roman" w:cs="Times New Roman"/>
          <w:sz w:val="24"/>
          <w:szCs w:val="24"/>
          <w:lang w:val="pl-PL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W roku 2016 wydatki ogółem zaplanowano w kwocie </w:t>
      </w:r>
      <w:r w:rsidRPr="008056EA">
        <w:rPr>
          <w:rFonts w:ascii="Times New Roman" w:hAnsi="Times New Roman" w:cs="Times New Roman"/>
          <w:b/>
          <w:bCs/>
          <w:sz w:val="24"/>
          <w:szCs w:val="24"/>
          <w:lang w:val="pl-PL"/>
        </w:rPr>
        <w:t>40.999.880 zł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w tym:</w:t>
      </w:r>
    </w:p>
    <w:p w:rsidR="00BC6181" w:rsidRDefault="00BC6181" w:rsidP="0045723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Bieżące – 30.689.510 zł,</w:t>
      </w:r>
    </w:p>
    <w:p w:rsidR="00BC6181" w:rsidRDefault="00BC6181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Majątkowe – 10.310.370 zł,</w:t>
      </w:r>
    </w:p>
    <w:p w:rsidR="00BC6181" w:rsidRDefault="00BC6181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Wydatki na wynagrodzenia i pochodne od nich naliczone ustalono na poziomie zawartych umów o pracę na koniec 2015 r. na wydatki na wynagrodzenia i pochodne od wynagrodzeń dla nauczycieli założono wzrost 0%, dla pracowników Urzędu 3%. Zaplanowano nagrody jubileuszowe, odprawy emerytalne i inne. </w:t>
      </w:r>
    </w:p>
    <w:p w:rsidR="00BC6181" w:rsidRDefault="00BC6181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Wydatki na zakup towarów i usług (woda, energia elektryczna, centralne ogrzewanie) założono na podstawie wykonania 2015 roku oraz nieznacznego wzrostu cen.</w:t>
      </w:r>
    </w:p>
    <w:p w:rsidR="00BC6181" w:rsidRDefault="00BC6181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Zaplanowano dotacje dla podmiotów spoza sektora finansów publicznych na realizacje zadań własnych Gminy.</w:t>
      </w:r>
    </w:p>
    <w:p w:rsidR="00BC6181" w:rsidRPr="00772D15" w:rsidRDefault="00BC6181" w:rsidP="00772D1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Wydatki na obsługę długu zaplanowano na podstawie harmonogramów i spłat zaciągniętych oraz planowanych kredytów i pożyczek oraz WIBORU i marży danych banków. Obsługa długu wynosi 500.000 zł.</w:t>
      </w:r>
    </w:p>
    <w:p w:rsidR="00BC6181" w:rsidRDefault="00BC6181" w:rsidP="006D13EF">
      <w:pPr>
        <w:spacing w:after="0" w:line="360" w:lineRule="auto"/>
        <w:ind w:left="360" w:firstLine="66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BC6181" w:rsidRPr="00A07D1E" w:rsidRDefault="00BC6181" w:rsidP="006D13EF">
      <w:pPr>
        <w:spacing w:after="0" w:line="360" w:lineRule="auto"/>
        <w:ind w:left="360" w:firstLine="66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PRZYCHODY I ROZCHODY BUDŻETU</w:t>
      </w:r>
    </w:p>
    <w:p w:rsidR="00BC6181" w:rsidRPr="00B47BD1" w:rsidRDefault="00BC6181" w:rsidP="00772D15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Przyjęto następujące wielkości przychodów i rozchodów z uwzględnieniem długu Gminy</w:t>
      </w:r>
    </w:p>
    <w:tbl>
      <w:tblPr>
        <w:tblpPr w:leftFromText="141" w:rightFromText="141" w:vertAnchor="text" w:horzAnchor="margin" w:tblpXSpec="center" w:tblpY="56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1080"/>
        <w:gridCol w:w="540"/>
        <w:gridCol w:w="1080"/>
        <w:gridCol w:w="1260"/>
        <w:gridCol w:w="1080"/>
        <w:gridCol w:w="1080"/>
        <w:gridCol w:w="1080"/>
        <w:gridCol w:w="1260"/>
        <w:gridCol w:w="1080"/>
      </w:tblGrid>
      <w:tr w:rsidR="00BC6181" w:rsidRPr="00C12482">
        <w:trPr>
          <w:trHeight w:val="709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L.p.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Treść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Jm</w:t>
            </w:r>
          </w:p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2016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2017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2018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2019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2020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2021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2022</w:t>
            </w:r>
          </w:p>
        </w:tc>
      </w:tr>
      <w:tr w:rsidR="00BC6181" w:rsidRPr="00C12482">
        <w:trPr>
          <w:trHeight w:val="528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Dochody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38.389.437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36.961.674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38.070.524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39.212.639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42.389.018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43.909.000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44.892.297</w:t>
            </w:r>
          </w:p>
        </w:tc>
      </w:tr>
      <w:tr w:rsidR="00BC6181" w:rsidRPr="0038577F">
        <w:trPr>
          <w:trHeight w:val="522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Wydatki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40.999.880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34.155.198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36.254.020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36.944.439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39.632.018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40.609.000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41.985.171</w:t>
            </w:r>
          </w:p>
        </w:tc>
      </w:tr>
      <w:tr w:rsidR="00BC6181" w:rsidRPr="0038577F">
        <w:trPr>
          <w:trHeight w:val="531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Wynik budżetu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8D2396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-2.610.443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2.806.476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1.816.504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2.268.200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2.757.000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3.300.000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2.907.126</w:t>
            </w:r>
          </w:p>
        </w:tc>
      </w:tr>
      <w:tr w:rsidR="00BC6181" w:rsidRPr="00C12482">
        <w:trPr>
          <w:trHeight w:val="524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Przychody</w:t>
            </w:r>
          </w:p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5.492.172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C6181" w:rsidRPr="00C12482">
        <w:trPr>
          <w:trHeight w:val="547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Kredyty i pożyczki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5.492.172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C6181" w:rsidRPr="00C12482">
        <w:trPr>
          <w:trHeight w:val="527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Wolne środki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C6181" w:rsidRPr="00C12482">
        <w:trPr>
          <w:trHeight w:val="520"/>
        </w:trPr>
        <w:tc>
          <w:tcPr>
            <w:tcW w:w="468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6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Rozchody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2.881.729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2.806.476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1.816.504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2.268.200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2.757.000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3.300.000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D4654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2.907.126</w:t>
            </w:r>
          </w:p>
        </w:tc>
      </w:tr>
      <w:tr w:rsidR="00BC6181" w:rsidRPr="008D2396">
        <w:trPr>
          <w:trHeight w:val="528"/>
        </w:trPr>
        <w:tc>
          <w:tcPr>
            <w:tcW w:w="468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Kredyty i Pożyczki</w:t>
            </w:r>
          </w:p>
        </w:tc>
        <w:tc>
          <w:tcPr>
            <w:tcW w:w="54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C1248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2.881.729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2.806.476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1.816.504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2.268.200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2.757.000</w:t>
            </w:r>
          </w:p>
        </w:tc>
        <w:tc>
          <w:tcPr>
            <w:tcW w:w="126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3.300.000</w:t>
            </w:r>
          </w:p>
        </w:tc>
        <w:tc>
          <w:tcPr>
            <w:tcW w:w="1080" w:type="dxa"/>
            <w:vAlign w:val="center"/>
          </w:tcPr>
          <w:p w:rsidR="00BC6181" w:rsidRPr="00C12482" w:rsidRDefault="00BC6181" w:rsidP="0097226F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2.907.126</w:t>
            </w:r>
          </w:p>
        </w:tc>
      </w:tr>
    </w:tbl>
    <w:p w:rsidR="00BC6181" w:rsidRDefault="00BC6181" w:rsidP="006D13EF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Default="00BC6181" w:rsidP="006D13EF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 roku 2016 planuje się w budżecie deficyt w wysokości –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2.610.443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w kolejnych latach będą spłacone zaciągnięte zobowiązania czyli kredyty i pożyczki.</w:t>
      </w:r>
    </w:p>
    <w:p w:rsidR="00BC6181" w:rsidRDefault="00BC6181" w:rsidP="00A07D1E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Przychody w budżecie gminy zaplanowano w 2016r. w kwocie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5.492.172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zostaną przeznaczone na sfinansowanie planowanego deficytu oraz na spłatę zobowiązań z tytułu zaciągniętych w latach ubiegłych kredytów i pożyczek i pochodzić będą z zaciągniętego kredytu bankowego oraz pożyczki w kwocie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5.492.172</w:t>
      </w:r>
      <w:r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</w:p>
    <w:p w:rsidR="00BC6181" w:rsidRDefault="00BC6181" w:rsidP="00693CC9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 2016 roku zaplanowano przedsięwzięcia majątkowe, na które przeznaczono w WPF kwotę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6.005.464,13</w:t>
      </w:r>
      <w:r w:rsidRPr="00693CC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BC6181" w:rsidRDefault="00BC6181" w:rsidP="00693CC9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Wykaz realizowanych i planowanych do realizacji przedsięwzięć wieloletnich zawiera załącznik nr 2 do uchwały.</w:t>
      </w:r>
    </w:p>
    <w:p w:rsidR="00BC6181" w:rsidRDefault="00BC6181" w:rsidP="00A07D1E">
      <w:pPr>
        <w:spacing w:after="0" w:line="360" w:lineRule="auto"/>
        <w:ind w:left="360" w:firstLine="6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Limit zobowiązań dla przedsięwzięć wieloletnich określono jako suma wydatków przewidzianych do realizacji poszczególnych zadań począwszy od 2016 roku do końca realizacji zadań.. W ramach przedsięwzięć określonych w załączniku nr.2 do uchwały w sprawie WPF na lata 2016-2022 wykazano kwoty wynikające z zadań inwestycyjnych finansowanych ze środków UE, ze środków własnych oraz środków budżetu państwa.</w:t>
      </w:r>
    </w:p>
    <w:p w:rsidR="00BC6181" w:rsidRDefault="00BC6181" w:rsidP="004F4BE4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Default="00BC6181" w:rsidP="00344151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PROGNOZA DŁUGU</w:t>
      </w:r>
    </w:p>
    <w:p w:rsidR="00BC6181" w:rsidRPr="00344151" w:rsidRDefault="00BC6181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44151">
        <w:rPr>
          <w:rFonts w:ascii="Times New Roman" w:hAnsi="Times New Roman" w:cs="Times New Roman"/>
          <w:sz w:val="24"/>
          <w:szCs w:val="24"/>
          <w:lang w:val="pl-PL"/>
        </w:rPr>
        <w:t xml:space="preserve">Kwota długu w poszczególnych latach na dzień 31.12 przedstawia poniższa tabela: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</w:tblGrid>
      <w:tr w:rsidR="00BC6181" w:rsidRPr="00344151">
        <w:tc>
          <w:tcPr>
            <w:tcW w:w="3070" w:type="dxa"/>
          </w:tcPr>
          <w:p w:rsidR="00BC6181" w:rsidRPr="00693CC9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693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Rok</w:t>
            </w:r>
          </w:p>
        </w:tc>
        <w:tc>
          <w:tcPr>
            <w:tcW w:w="3071" w:type="dxa"/>
          </w:tcPr>
          <w:p w:rsidR="00BC6181" w:rsidRPr="00693CC9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693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Kwota</w:t>
            </w:r>
          </w:p>
        </w:tc>
      </w:tr>
      <w:tr w:rsidR="00BC6181" w:rsidRPr="00344151"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2016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15.855.306</w:t>
            </w:r>
          </w:p>
        </w:tc>
      </w:tr>
      <w:tr w:rsidR="00BC6181" w:rsidRPr="00344151"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2017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13.048.830</w:t>
            </w:r>
          </w:p>
        </w:tc>
      </w:tr>
      <w:tr w:rsidR="00BC6181" w:rsidRPr="00344151"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2018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11.232.326</w:t>
            </w:r>
          </w:p>
        </w:tc>
      </w:tr>
      <w:tr w:rsidR="00BC6181" w:rsidRPr="00344151"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2019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8.964.126</w:t>
            </w:r>
          </w:p>
        </w:tc>
      </w:tr>
      <w:tr w:rsidR="00BC6181" w:rsidRPr="00344151"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2020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6.207.126</w:t>
            </w:r>
          </w:p>
        </w:tc>
      </w:tr>
      <w:tr w:rsidR="00BC6181" w:rsidRPr="00344151">
        <w:trPr>
          <w:trHeight w:val="240"/>
        </w:trPr>
        <w:tc>
          <w:tcPr>
            <w:tcW w:w="3070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2021</w:t>
            </w:r>
          </w:p>
        </w:tc>
        <w:tc>
          <w:tcPr>
            <w:tcW w:w="3071" w:type="dxa"/>
          </w:tcPr>
          <w:p w:rsidR="00BC6181" w:rsidRPr="006106AA" w:rsidRDefault="00BC6181" w:rsidP="006106AA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2.907.126</w:t>
            </w:r>
          </w:p>
        </w:tc>
      </w:tr>
      <w:tr w:rsidR="00BC6181" w:rsidRPr="00344151">
        <w:trPr>
          <w:trHeight w:val="332"/>
        </w:trPr>
        <w:tc>
          <w:tcPr>
            <w:tcW w:w="3070" w:type="dxa"/>
          </w:tcPr>
          <w:p w:rsidR="00BC6181" w:rsidRPr="006106AA" w:rsidRDefault="00BC6181" w:rsidP="008D23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2022</w:t>
            </w:r>
          </w:p>
        </w:tc>
        <w:tc>
          <w:tcPr>
            <w:tcW w:w="3071" w:type="dxa"/>
          </w:tcPr>
          <w:p w:rsidR="00BC6181" w:rsidRPr="006106AA" w:rsidRDefault="00BC6181" w:rsidP="00F15A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0</w:t>
            </w:r>
          </w:p>
        </w:tc>
      </w:tr>
    </w:tbl>
    <w:p w:rsidR="00BC6181" w:rsidRPr="00344151" w:rsidRDefault="00BC6181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BC6181" w:rsidRPr="00344151" w:rsidRDefault="00BC6181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latach 2017 -2022</w:t>
      </w:r>
      <w:r w:rsidRPr="00344151">
        <w:rPr>
          <w:rFonts w:ascii="Times New Roman" w:hAnsi="Times New Roman" w:cs="Times New Roman"/>
          <w:sz w:val="24"/>
          <w:szCs w:val="24"/>
          <w:lang w:val="pl-PL"/>
        </w:rPr>
        <w:t xml:space="preserve"> nie jest planowane zaciąganie dodatkowych kredytów, dlatego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w  </w:t>
      </w:r>
      <w:r w:rsidRPr="00344151">
        <w:rPr>
          <w:rFonts w:ascii="Times New Roman" w:hAnsi="Times New Roman" w:cs="Times New Roman"/>
          <w:sz w:val="24"/>
          <w:szCs w:val="24"/>
          <w:lang w:val="pl-PL"/>
        </w:rPr>
        <w:t xml:space="preserve">planowanych kwotach zadłużenia na koniec poszczególnych lat uwzględnia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się </w:t>
      </w:r>
      <w:r w:rsidRPr="00344151">
        <w:rPr>
          <w:rFonts w:ascii="Times New Roman" w:hAnsi="Times New Roman" w:cs="Times New Roman"/>
          <w:sz w:val="24"/>
          <w:szCs w:val="24"/>
          <w:lang w:val="pl-PL"/>
        </w:rPr>
        <w:t>spłaty rat kredytów wynikające z zawartych umów.</w:t>
      </w:r>
    </w:p>
    <w:p w:rsidR="00BC6181" w:rsidRDefault="00BC6181" w:rsidP="00772D15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                                                          </w:t>
      </w:r>
    </w:p>
    <w:p w:rsidR="00BC6181" w:rsidRDefault="00BC6181" w:rsidP="00772D15">
      <w:pPr>
        <w:spacing w:after="0" w:line="360" w:lineRule="auto"/>
        <w:ind w:left="360" w:firstLine="0"/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                                                                        </w:t>
      </w:r>
    </w:p>
    <w:sectPr w:rsidR="00BC6181" w:rsidSect="00A637BE">
      <w:footerReference w:type="default" r:id="rId7"/>
      <w:pgSz w:w="11906" w:h="16838"/>
      <w:pgMar w:top="899" w:right="1106" w:bottom="1079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181" w:rsidRDefault="00BC6181" w:rsidP="00463B60">
      <w:pPr>
        <w:spacing w:after="0" w:line="240" w:lineRule="auto"/>
      </w:pPr>
      <w:r>
        <w:separator/>
      </w:r>
    </w:p>
  </w:endnote>
  <w:endnote w:type="continuationSeparator" w:id="0">
    <w:p w:rsidR="00BC6181" w:rsidRDefault="00BC6181" w:rsidP="00463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81" w:rsidRDefault="00BC6181" w:rsidP="004B310A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C6181" w:rsidRDefault="00BC6181" w:rsidP="008056E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181" w:rsidRDefault="00BC6181" w:rsidP="00463B60">
      <w:pPr>
        <w:spacing w:after="0" w:line="240" w:lineRule="auto"/>
      </w:pPr>
      <w:r>
        <w:separator/>
      </w:r>
    </w:p>
  </w:footnote>
  <w:footnote w:type="continuationSeparator" w:id="0">
    <w:p w:rsidR="00BC6181" w:rsidRDefault="00BC6181" w:rsidP="00463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DDF"/>
    <w:multiLevelType w:val="hybridMultilevel"/>
    <w:tmpl w:val="487A0678"/>
    <w:lvl w:ilvl="0" w:tplc="21842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0780A"/>
    <w:multiLevelType w:val="hybridMultilevel"/>
    <w:tmpl w:val="0F360FD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3EB44032"/>
    <w:multiLevelType w:val="hybridMultilevel"/>
    <w:tmpl w:val="8490F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0B1"/>
    <w:rsid w:val="000154FE"/>
    <w:rsid w:val="000162B1"/>
    <w:rsid w:val="0002604F"/>
    <w:rsid w:val="00050592"/>
    <w:rsid w:val="000664D0"/>
    <w:rsid w:val="00072916"/>
    <w:rsid w:val="000B5BFD"/>
    <w:rsid w:val="001049A1"/>
    <w:rsid w:val="00151DA5"/>
    <w:rsid w:val="00153CEF"/>
    <w:rsid w:val="001914AC"/>
    <w:rsid w:val="00195C5E"/>
    <w:rsid w:val="001A6778"/>
    <w:rsid w:val="001A7F45"/>
    <w:rsid w:val="001C76E5"/>
    <w:rsid w:val="001D23CD"/>
    <w:rsid w:val="001F2F65"/>
    <w:rsid w:val="002055A1"/>
    <w:rsid w:val="00233D6A"/>
    <w:rsid w:val="00266698"/>
    <w:rsid w:val="002701F7"/>
    <w:rsid w:val="00286CC0"/>
    <w:rsid w:val="00292FC9"/>
    <w:rsid w:val="00294B39"/>
    <w:rsid w:val="002A7252"/>
    <w:rsid w:val="002B77B2"/>
    <w:rsid w:val="002E37DB"/>
    <w:rsid w:val="003138C8"/>
    <w:rsid w:val="00341B95"/>
    <w:rsid w:val="00344151"/>
    <w:rsid w:val="003447CF"/>
    <w:rsid w:val="00344C1A"/>
    <w:rsid w:val="003454E2"/>
    <w:rsid w:val="00366F3E"/>
    <w:rsid w:val="003674DA"/>
    <w:rsid w:val="003761D8"/>
    <w:rsid w:val="00381520"/>
    <w:rsid w:val="0038577F"/>
    <w:rsid w:val="003925CD"/>
    <w:rsid w:val="00396808"/>
    <w:rsid w:val="003A026A"/>
    <w:rsid w:val="003A3CE9"/>
    <w:rsid w:val="003D0CBF"/>
    <w:rsid w:val="003E0928"/>
    <w:rsid w:val="003E4A64"/>
    <w:rsid w:val="0042166A"/>
    <w:rsid w:val="004325E7"/>
    <w:rsid w:val="00443CA6"/>
    <w:rsid w:val="00446F13"/>
    <w:rsid w:val="00457238"/>
    <w:rsid w:val="004608A4"/>
    <w:rsid w:val="00463B60"/>
    <w:rsid w:val="004A1C08"/>
    <w:rsid w:val="004B310A"/>
    <w:rsid w:val="004D3E2D"/>
    <w:rsid w:val="004E0EB2"/>
    <w:rsid w:val="004F4BE4"/>
    <w:rsid w:val="005132D1"/>
    <w:rsid w:val="00533221"/>
    <w:rsid w:val="00547651"/>
    <w:rsid w:val="00565E84"/>
    <w:rsid w:val="005662BA"/>
    <w:rsid w:val="00597BCF"/>
    <w:rsid w:val="005A60B1"/>
    <w:rsid w:val="00605E39"/>
    <w:rsid w:val="006106AA"/>
    <w:rsid w:val="00626115"/>
    <w:rsid w:val="00626D0B"/>
    <w:rsid w:val="006678F4"/>
    <w:rsid w:val="00676A1A"/>
    <w:rsid w:val="00693CC9"/>
    <w:rsid w:val="006D13EF"/>
    <w:rsid w:val="007219F5"/>
    <w:rsid w:val="00745B97"/>
    <w:rsid w:val="00760AC5"/>
    <w:rsid w:val="00771BFA"/>
    <w:rsid w:val="00772D15"/>
    <w:rsid w:val="007766C8"/>
    <w:rsid w:val="00781768"/>
    <w:rsid w:val="007B3331"/>
    <w:rsid w:val="007C276C"/>
    <w:rsid w:val="007E3099"/>
    <w:rsid w:val="008056EA"/>
    <w:rsid w:val="00821FF0"/>
    <w:rsid w:val="00827D5D"/>
    <w:rsid w:val="008313BA"/>
    <w:rsid w:val="00844E7E"/>
    <w:rsid w:val="0084729C"/>
    <w:rsid w:val="00864943"/>
    <w:rsid w:val="0089230E"/>
    <w:rsid w:val="008A093A"/>
    <w:rsid w:val="008D13B1"/>
    <w:rsid w:val="008D2396"/>
    <w:rsid w:val="008F0787"/>
    <w:rsid w:val="00905A07"/>
    <w:rsid w:val="00912D76"/>
    <w:rsid w:val="00950983"/>
    <w:rsid w:val="00952510"/>
    <w:rsid w:val="0095530E"/>
    <w:rsid w:val="0097226F"/>
    <w:rsid w:val="00974B1F"/>
    <w:rsid w:val="00980327"/>
    <w:rsid w:val="009D0B64"/>
    <w:rsid w:val="009E4722"/>
    <w:rsid w:val="00A07D1E"/>
    <w:rsid w:val="00A11271"/>
    <w:rsid w:val="00A11C0D"/>
    <w:rsid w:val="00A15406"/>
    <w:rsid w:val="00A637BE"/>
    <w:rsid w:val="00A76CA8"/>
    <w:rsid w:val="00A84AC4"/>
    <w:rsid w:val="00AB08AA"/>
    <w:rsid w:val="00AD1DF8"/>
    <w:rsid w:val="00AD3FE7"/>
    <w:rsid w:val="00AF3C76"/>
    <w:rsid w:val="00B11098"/>
    <w:rsid w:val="00B1216B"/>
    <w:rsid w:val="00B148AE"/>
    <w:rsid w:val="00B21D70"/>
    <w:rsid w:val="00B47BD1"/>
    <w:rsid w:val="00B5562B"/>
    <w:rsid w:val="00B62C0D"/>
    <w:rsid w:val="00B75448"/>
    <w:rsid w:val="00B86DBF"/>
    <w:rsid w:val="00BB7CDB"/>
    <w:rsid w:val="00BC6181"/>
    <w:rsid w:val="00BD1B8A"/>
    <w:rsid w:val="00BE340B"/>
    <w:rsid w:val="00BF54C6"/>
    <w:rsid w:val="00C12482"/>
    <w:rsid w:val="00C355D8"/>
    <w:rsid w:val="00C57237"/>
    <w:rsid w:val="00C61A3F"/>
    <w:rsid w:val="00C90AF8"/>
    <w:rsid w:val="00CB2756"/>
    <w:rsid w:val="00CC6EEA"/>
    <w:rsid w:val="00CD3B75"/>
    <w:rsid w:val="00D1181F"/>
    <w:rsid w:val="00D12148"/>
    <w:rsid w:val="00D26DB4"/>
    <w:rsid w:val="00D32834"/>
    <w:rsid w:val="00D360C1"/>
    <w:rsid w:val="00D46542"/>
    <w:rsid w:val="00D519EF"/>
    <w:rsid w:val="00D62EA7"/>
    <w:rsid w:val="00D84A70"/>
    <w:rsid w:val="00D96A9D"/>
    <w:rsid w:val="00DB2D97"/>
    <w:rsid w:val="00DC054B"/>
    <w:rsid w:val="00DC3DF1"/>
    <w:rsid w:val="00E04D8D"/>
    <w:rsid w:val="00E107C2"/>
    <w:rsid w:val="00E13DBB"/>
    <w:rsid w:val="00E23A5B"/>
    <w:rsid w:val="00E24422"/>
    <w:rsid w:val="00E366A8"/>
    <w:rsid w:val="00E80DC0"/>
    <w:rsid w:val="00EA2342"/>
    <w:rsid w:val="00EF4CDF"/>
    <w:rsid w:val="00EF5092"/>
    <w:rsid w:val="00F14F18"/>
    <w:rsid w:val="00F15AED"/>
    <w:rsid w:val="00F16272"/>
    <w:rsid w:val="00F56EC0"/>
    <w:rsid w:val="00F82E15"/>
    <w:rsid w:val="00FA42DC"/>
    <w:rsid w:val="00FA7BA2"/>
    <w:rsid w:val="00FB0F2C"/>
    <w:rsid w:val="00FC58A4"/>
    <w:rsid w:val="00FE2800"/>
    <w:rsid w:val="00FE45FA"/>
    <w:rsid w:val="00FF3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semiHidden="0" w:unhideWhenUsed="0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semiHidden="0" w:unhideWhenUsed="0" w:qFormat="1"/>
  </w:latentStyles>
  <w:style w:type="paragraph" w:default="1" w:styleId="Normal">
    <w:name w:val="Normal"/>
    <w:qFormat/>
    <w:rsid w:val="00E366A8"/>
    <w:pPr>
      <w:spacing w:after="240" w:line="480" w:lineRule="auto"/>
      <w:ind w:firstLine="360"/>
    </w:pPr>
    <w:rPr>
      <w:rFonts w:cs="Calibr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66A8"/>
    <w:pPr>
      <w:spacing w:before="600" w:after="0" w:line="360" w:lineRule="auto"/>
      <w:ind w:firstLine="0"/>
      <w:outlineLvl w:val="0"/>
    </w:pPr>
    <w:rPr>
      <w:rFonts w:ascii="Cambria" w:eastAsia="Times New Roman" w:hAnsi="Cambria" w:cs="Cambria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366A8"/>
    <w:pPr>
      <w:spacing w:before="320" w:after="0" w:line="360" w:lineRule="auto"/>
      <w:ind w:firstLine="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366A8"/>
    <w:pPr>
      <w:spacing w:before="320" w:after="0" w:line="360" w:lineRule="auto"/>
      <w:ind w:firstLine="0"/>
      <w:outlineLvl w:val="2"/>
    </w:pPr>
    <w:rPr>
      <w:rFonts w:ascii="Cambria" w:eastAsia="Times New Roman" w:hAnsi="Cambria" w:cs="Cambria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366A8"/>
    <w:pPr>
      <w:spacing w:before="280" w:after="0" w:line="360" w:lineRule="auto"/>
      <w:ind w:firstLine="0"/>
      <w:outlineLvl w:val="3"/>
    </w:pPr>
    <w:rPr>
      <w:rFonts w:ascii="Cambria" w:eastAsia="Times New Roman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366A8"/>
    <w:pPr>
      <w:spacing w:before="280" w:after="0" w:line="360" w:lineRule="auto"/>
      <w:ind w:firstLine="0"/>
      <w:outlineLvl w:val="4"/>
    </w:pPr>
    <w:rPr>
      <w:rFonts w:ascii="Cambria" w:eastAsia="Times New Roman" w:hAnsi="Cambria" w:cs="Cambria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E366A8"/>
    <w:pPr>
      <w:spacing w:before="280" w:after="80" w:line="360" w:lineRule="auto"/>
      <w:ind w:firstLine="0"/>
      <w:outlineLvl w:val="5"/>
    </w:pPr>
    <w:rPr>
      <w:rFonts w:ascii="Cambria" w:eastAsia="Times New Roman" w:hAnsi="Cambria" w:cs="Cambria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66A8"/>
    <w:pPr>
      <w:spacing w:before="280" w:after="0" w:line="360" w:lineRule="auto"/>
      <w:ind w:firstLine="0"/>
      <w:outlineLvl w:val="6"/>
    </w:pPr>
    <w:rPr>
      <w:rFonts w:ascii="Cambria" w:eastAsia="Times New Roman" w:hAnsi="Cambria" w:cs="Cambria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366A8"/>
    <w:pPr>
      <w:spacing w:before="280" w:after="0" w:line="360" w:lineRule="auto"/>
      <w:ind w:firstLine="0"/>
      <w:outlineLvl w:val="7"/>
    </w:pPr>
    <w:rPr>
      <w:rFonts w:ascii="Cambria" w:eastAsia="Times New Roman" w:hAnsi="Cambria" w:cs="Cambria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366A8"/>
    <w:pPr>
      <w:spacing w:before="280" w:after="0" w:line="360" w:lineRule="auto"/>
      <w:ind w:firstLine="0"/>
      <w:outlineLvl w:val="8"/>
    </w:pPr>
    <w:rPr>
      <w:rFonts w:ascii="Cambria" w:eastAsia="Times New Roman" w:hAnsi="Cambria" w:cs="Cambria"/>
      <w:i/>
      <w:iCs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366A8"/>
    <w:rPr>
      <w:rFonts w:ascii="Cambria" w:hAnsi="Cambria" w:cs="Cambria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E366A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E366A8"/>
    <w:rPr>
      <w:rFonts w:ascii="Cambria" w:hAnsi="Cambria" w:cs="Cambria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366A8"/>
    <w:rPr>
      <w:rFonts w:ascii="Cambria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366A8"/>
    <w:rPr>
      <w:rFonts w:ascii="Cambria" w:hAnsi="Cambria" w:cs="Cambri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66A8"/>
    <w:rPr>
      <w:rFonts w:ascii="Cambria" w:hAnsi="Cambria" w:cs="Cambria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366A8"/>
    <w:rPr>
      <w:rFonts w:ascii="Cambria" w:hAnsi="Cambria" w:cs="Cambria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366A8"/>
    <w:rPr>
      <w:rFonts w:ascii="Cambria" w:hAnsi="Cambria" w:cs="Cambria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366A8"/>
    <w:rPr>
      <w:rFonts w:ascii="Cambria" w:hAnsi="Cambria" w:cs="Cambria"/>
      <w:i/>
      <w:iCs/>
      <w:sz w:val="18"/>
      <w:szCs w:val="18"/>
    </w:rPr>
  </w:style>
  <w:style w:type="paragraph" w:styleId="Caption">
    <w:name w:val="caption"/>
    <w:basedOn w:val="Normal"/>
    <w:next w:val="Normal"/>
    <w:uiPriority w:val="99"/>
    <w:qFormat/>
    <w:rsid w:val="00E366A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E366A8"/>
    <w:pPr>
      <w:spacing w:line="240" w:lineRule="auto"/>
      <w:ind w:firstLine="0"/>
    </w:pPr>
    <w:rPr>
      <w:rFonts w:ascii="Cambria" w:eastAsia="Times New Roman" w:hAnsi="Cambria" w:cs="Cambria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99"/>
    <w:rsid w:val="00E366A8"/>
    <w:rPr>
      <w:rFonts w:ascii="Cambria" w:hAnsi="Cambria" w:cs="Cambria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99"/>
    <w:qFormat/>
    <w:rsid w:val="00E366A8"/>
    <w:pPr>
      <w:spacing w:after="320"/>
      <w:jc w:val="right"/>
    </w:pPr>
    <w:rPr>
      <w:i/>
      <w:iCs/>
      <w:color w:val="808080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E366A8"/>
    <w:rPr>
      <w:i/>
      <w:iCs/>
      <w:color w:val="808080"/>
      <w:spacing w:val="10"/>
      <w:sz w:val="24"/>
      <w:szCs w:val="24"/>
    </w:rPr>
  </w:style>
  <w:style w:type="character" w:styleId="Strong">
    <w:name w:val="Strong"/>
    <w:basedOn w:val="DefaultParagraphFont"/>
    <w:uiPriority w:val="99"/>
    <w:qFormat/>
    <w:rsid w:val="00E366A8"/>
    <w:rPr>
      <w:b/>
      <w:bCs/>
      <w:spacing w:val="0"/>
    </w:rPr>
  </w:style>
  <w:style w:type="character" w:styleId="Emphasis">
    <w:name w:val="Emphasis"/>
    <w:basedOn w:val="DefaultParagraphFont"/>
    <w:uiPriority w:val="99"/>
    <w:qFormat/>
    <w:rsid w:val="00E366A8"/>
    <w:rPr>
      <w:b/>
      <w:bCs/>
      <w:i/>
      <w:iCs/>
      <w:color w:val="auto"/>
    </w:rPr>
  </w:style>
  <w:style w:type="paragraph" w:styleId="NoSpacing">
    <w:name w:val="No Spacing"/>
    <w:basedOn w:val="Normal"/>
    <w:uiPriority w:val="99"/>
    <w:qFormat/>
    <w:rsid w:val="00E366A8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99"/>
    <w:qFormat/>
    <w:rsid w:val="00E366A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366A8"/>
    <w:rPr>
      <w:color w:val="5A5A5A"/>
    </w:rPr>
  </w:style>
  <w:style w:type="character" w:customStyle="1" w:styleId="QuoteChar">
    <w:name w:val="Quote Char"/>
    <w:basedOn w:val="DefaultParagraphFont"/>
    <w:link w:val="Quote"/>
    <w:uiPriority w:val="99"/>
    <w:rsid w:val="00E366A8"/>
    <w:rPr>
      <w:rFonts w:ascii="Calibri" w:cs="Calibri"/>
      <w:color w:val="5A5A5A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366A8"/>
    <w:pPr>
      <w:spacing w:before="320" w:after="480" w:line="240" w:lineRule="auto"/>
      <w:ind w:left="720" w:right="720" w:firstLine="0"/>
      <w:jc w:val="center"/>
    </w:pPr>
    <w:rPr>
      <w:rFonts w:ascii="Cambria" w:eastAsia="Times New Roman" w:hAnsi="Cambria" w:cs="Cambria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E366A8"/>
    <w:rPr>
      <w:rFonts w:ascii="Cambria" w:hAnsi="Cambria" w:cs="Cambria"/>
      <w:i/>
      <w:iCs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E366A8"/>
    <w:rPr>
      <w:i/>
      <w:iCs/>
      <w:color w:val="5A5A5A"/>
    </w:rPr>
  </w:style>
  <w:style w:type="character" w:styleId="IntenseEmphasis">
    <w:name w:val="Intense Emphasis"/>
    <w:basedOn w:val="DefaultParagraphFont"/>
    <w:uiPriority w:val="99"/>
    <w:qFormat/>
    <w:rsid w:val="00E366A8"/>
    <w:rPr>
      <w:b/>
      <w:bCs/>
      <w:i/>
      <w:iCs/>
      <w:color w:val="auto"/>
      <w:u w:val="single"/>
    </w:rPr>
  </w:style>
  <w:style w:type="character" w:styleId="SubtleReference">
    <w:name w:val="Subtle Reference"/>
    <w:basedOn w:val="DefaultParagraphFont"/>
    <w:uiPriority w:val="99"/>
    <w:qFormat/>
    <w:rsid w:val="00E366A8"/>
    <w:rPr>
      <w:smallCaps/>
    </w:rPr>
  </w:style>
  <w:style w:type="character" w:styleId="IntenseReference">
    <w:name w:val="Intense Reference"/>
    <w:basedOn w:val="DefaultParagraphFont"/>
    <w:uiPriority w:val="99"/>
    <w:qFormat/>
    <w:rsid w:val="00E366A8"/>
    <w:rPr>
      <w:b/>
      <w:bCs/>
      <w:smallCaps/>
      <w:color w:val="auto"/>
    </w:rPr>
  </w:style>
  <w:style w:type="character" w:styleId="BookTitle">
    <w:name w:val="Book Title"/>
    <w:basedOn w:val="DefaultParagraphFont"/>
    <w:uiPriority w:val="99"/>
    <w:qFormat/>
    <w:rsid w:val="00E366A8"/>
    <w:rPr>
      <w:rFonts w:ascii="Cambria" w:hAnsi="Cambria" w:cs="Cambria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99"/>
    <w:qFormat/>
    <w:rsid w:val="00E366A8"/>
    <w:pPr>
      <w:outlineLvl w:val="9"/>
    </w:pPr>
  </w:style>
  <w:style w:type="table" w:styleId="TableGrid">
    <w:name w:val="Table Grid"/>
    <w:basedOn w:val="TableNormal"/>
    <w:uiPriority w:val="99"/>
    <w:rsid w:val="009E472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zodstpw">
    <w:name w:val="Bez odstępów"/>
    <w:uiPriority w:val="99"/>
    <w:rsid w:val="004F4BE4"/>
    <w:rPr>
      <w:rFonts w:eastAsia="Times New Roman" w:cs="Calibri"/>
      <w:lang w:eastAsia="en-US"/>
    </w:rPr>
  </w:style>
  <w:style w:type="paragraph" w:styleId="Footer">
    <w:name w:val="footer"/>
    <w:basedOn w:val="Normal"/>
    <w:link w:val="FooterChar"/>
    <w:uiPriority w:val="99"/>
    <w:rsid w:val="008056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lang w:val="en-US" w:eastAsia="en-US"/>
    </w:rPr>
  </w:style>
  <w:style w:type="character" w:styleId="PageNumber">
    <w:name w:val="page number"/>
    <w:basedOn w:val="DefaultParagraphFont"/>
    <w:uiPriority w:val="99"/>
    <w:rsid w:val="00805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09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1159</Words>
  <Characters>6960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Objaśnienia do Wieloletniej Prognozy Finansowej Gminy Zakrzew na lata 2014 – 2020</dc:title>
  <dc:subject/>
  <dc:creator>mpotocka</dc:creator>
  <cp:keywords/>
  <dc:description/>
  <cp:lastModifiedBy>Urząd Gminy Zakrzew</cp:lastModifiedBy>
  <cp:revision>2</cp:revision>
  <cp:lastPrinted>2015-11-13T06:48:00Z</cp:lastPrinted>
  <dcterms:created xsi:type="dcterms:W3CDTF">2015-12-31T10:29:00Z</dcterms:created>
  <dcterms:modified xsi:type="dcterms:W3CDTF">2015-12-31T10:29:00Z</dcterms:modified>
</cp:coreProperties>
</file>